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 w:rsidR="00EF45CD" w:rsidRPr="00851CDC" w:rsidP="00EF45CD">
      <w:pPr>
        <w:pStyle w:val="NoSpacing"/>
        <w:jc w:val="both"/>
        <w:rPr>
          <w:b/>
          <w:sz w:val="24"/>
          <w:szCs w:val="24"/>
        </w:rPr>
      </w:pPr>
      <w:r w:rsidRPr="00851CDC">
        <w:rPr>
          <w:b/>
          <w:sz w:val="24"/>
          <w:szCs w:val="24"/>
        </w:rPr>
        <w:t>COMPENSATION COMMITTEE CHARTER OF SENESTECH, INC.</w:t>
      </w:r>
    </w:p>
    <w:p w:rsidR="00851CDC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This Compensation Committee Charter (this “Charter”) was adopted by the Board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Directors (the “Board”) of </w:t>
      </w:r>
      <w:r>
        <w:rPr>
          <w:sz w:val="24"/>
          <w:szCs w:val="24"/>
        </w:rPr>
        <w:t>SenesT</w:t>
      </w:r>
      <w:r w:rsidRPr="009E30D2">
        <w:rPr>
          <w:sz w:val="24"/>
          <w:szCs w:val="24"/>
        </w:rPr>
        <w:t>ech, Inc., a Delaware corporation (the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“Company”), </w:t>
      </w:r>
      <w:r w:rsidRPr="009E30D2">
        <w:rPr>
          <w:sz w:val="24"/>
          <w:szCs w:val="24"/>
        </w:rPr>
        <w:t>effective</w:t>
      </w:r>
      <w:r w:rsidRPr="009E30D2">
        <w:rPr>
          <w:sz w:val="24"/>
          <w:szCs w:val="24"/>
        </w:rPr>
        <w:t xml:space="preserve"> </w:t>
      </w:r>
      <w:r w:rsidR="002754C2">
        <w:rPr>
          <w:sz w:val="24"/>
          <w:szCs w:val="24"/>
        </w:rPr>
        <w:t>November 9, 2015</w:t>
      </w:r>
      <w:r w:rsidRPr="009E30D2">
        <w:rPr>
          <w:sz w:val="24"/>
          <w:szCs w:val="24"/>
        </w:rPr>
        <w:t>.</w:t>
      </w:r>
    </w:p>
    <w:p w:rsidR="00EF45CD" w:rsidRPr="009E30D2" w:rsidP="00EF45CD">
      <w:pPr>
        <w:pStyle w:val="NoSpacing"/>
        <w:jc w:val="both"/>
        <w:rPr>
          <w:sz w:val="24"/>
          <w:szCs w:val="24"/>
        </w:rPr>
      </w:pPr>
    </w:p>
    <w:p w:rsidR="002754C2" w:rsidRPr="009E30D2" w:rsidP="00EF45CD">
      <w:pPr>
        <w:pStyle w:val="NoSpacing"/>
        <w:jc w:val="both"/>
        <w:rPr>
          <w:b/>
          <w:sz w:val="24"/>
          <w:szCs w:val="24"/>
        </w:rPr>
      </w:pPr>
      <w:r w:rsidRPr="009E30D2">
        <w:rPr>
          <w:b/>
          <w:sz w:val="24"/>
          <w:szCs w:val="24"/>
        </w:rPr>
        <w:t>I. Purpose</w:t>
      </w:r>
    </w:p>
    <w:p w:rsidR="002754C2" w:rsidP="00EF45CD">
      <w:pPr>
        <w:pStyle w:val="NoSpacing"/>
        <w:jc w:val="both"/>
        <w:rPr>
          <w:sz w:val="24"/>
          <w:szCs w:val="24"/>
        </w:rPr>
      </w:pPr>
    </w:p>
    <w:p w:rsidR="002754C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The purpose of the Compensation Committee of th</w:t>
      </w:r>
      <w:r>
        <w:rPr>
          <w:sz w:val="24"/>
          <w:szCs w:val="24"/>
        </w:rPr>
        <w:t>e Board (the “Committee”) is</w:t>
      </w:r>
      <w:r w:rsidRPr="009E30D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assist the Board in discharging the Board’s responsibilities regarding: </w:t>
      </w:r>
    </w:p>
    <w:p w:rsidR="002754C2" w:rsidP="00EF45CD">
      <w:pPr>
        <w:pStyle w:val="NoSpacing"/>
        <w:jc w:val="both"/>
        <w:rPr>
          <w:sz w:val="24"/>
          <w:szCs w:val="24"/>
        </w:rPr>
      </w:pPr>
    </w:p>
    <w:p w:rsidR="002754C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(a) </w:t>
      </w:r>
      <w:r w:rsidRPr="009E30D2">
        <w:rPr>
          <w:sz w:val="24"/>
          <w:szCs w:val="24"/>
        </w:rPr>
        <w:t>the</w:t>
      </w:r>
      <w:r w:rsidRPr="009E30D2">
        <w:rPr>
          <w:sz w:val="24"/>
          <w:szCs w:val="24"/>
        </w:rPr>
        <w:t xml:space="preserve"> establishment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and maintenance of compensation and benefit plans, policies and programs designed to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attract, motivate and retain personnel with the requisite skills and abilities to enable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Company to achieve superior operating results; </w:t>
      </w:r>
    </w:p>
    <w:p w:rsidR="002754C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(b) </w:t>
      </w:r>
      <w:r w:rsidRPr="009E30D2">
        <w:rPr>
          <w:sz w:val="24"/>
          <w:szCs w:val="24"/>
        </w:rPr>
        <w:t>the</w:t>
      </w:r>
      <w:r w:rsidRPr="009E30D2">
        <w:rPr>
          <w:sz w:val="24"/>
          <w:szCs w:val="24"/>
        </w:rPr>
        <w:t xml:space="preserve"> compensation of the Company’s Chief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Executive Officer (the “CEO”), the Company’s other executive officers, as defined by Rule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3b-7 of the Securities Exchange Act of 1934, as amended (the “Exchange Act”),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Company’s non-executive officers and vice president level employees (as determined from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time to time by the Committee) and the Company’s non-management directors; and </w:t>
      </w: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(c)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compliance</w:t>
      </w:r>
      <w:r w:rsidRPr="009E30D2">
        <w:rPr>
          <w:sz w:val="24"/>
          <w:szCs w:val="24"/>
        </w:rPr>
        <w:t xml:space="preserve"> with applicable compensation rules, regulations and guidelines promulgated by</w:t>
      </w:r>
      <w:r>
        <w:rPr>
          <w:sz w:val="24"/>
          <w:szCs w:val="24"/>
        </w:rPr>
        <w:t xml:space="preserve"> The </w:t>
      </w:r>
      <w:r w:rsidRPr="009E30D2">
        <w:rPr>
          <w:sz w:val="24"/>
          <w:szCs w:val="24"/>
        </w:rPr>
        <w:t>Nasdaq Stock Market LLC (“NASDAQ”), the Securities and Exchange Commission (the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“SEC”) and other law, as amended from time to time.</w:t>
      </w:r>
      <w:r>
        <w:rPr>
          <w:sz w:val="24"/>
          <w:szCs w:val="24"/>
        </w:rPr>
        <w:t xml:space="preserve"> </w:t>
      </w:r>
    </w:p>
    <w:p w:rsidR="00EF45CD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The Committee shall ensure that the above responsibilities are designed to encourage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high performance, promote accountability and assure that employee interests are aligned with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interests of the Company’s stockholders. In addition to the powers and responsibilities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expressly delegated to the Committee in this Charter, the Committee may exercise any other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powers and carry out any other responsibilities delegated to it by the Board from time to time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consistent with the Company’s bylaws (as in effect from time to time) and applicable law.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powers and responsibilities delegated by the Board to the Committee in this Charter or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otherwise shall be exercised and carried out by the Committee as it deems appropriate without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requirement of Board approval, and any decision made by the Committee (including any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decision to exercise or refrain from exercising any of the powers delegated to the Committee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hereunder) shall be at the Committee’s sole discretion. While acting within the scope of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powers and responsibilities delegated to it, the Committee shall have and may exercise all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powers and authority of the Board. To the fullest extent permitted by law, the Committee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shall have the power to determine which matters are within the scope of the powers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responsibilities delegated to it.</w:t>
      </w:r>
    </w:p>
    <w:p w:rsidR="00EF45CD" w:rsidRPr="009E30D2" w:rsidP="00EF45CD">
      <w:pPr>
        <w:pStyle w:val="NoSpacing"/>
        <w:jc w:val="both"/>
        <w:rPr>
          <w:sz w:val="24"/>
          <w:szCs w:val="24"/>
        </w:rPr>
      </w:pPr>
    </w:p>
    <w:p w:rsidR="00EF45CD" w:rsidRPr="009E30D2" w:rsidP="00EF45CD">
      <w:pPr>
        <w:pStyle w:val="NoSpacing"/>
        <w:jc w:val="both"/>
        <w:rPr>
          <w:b/>
          <w:sz w:val="24"/>
          <w:szCs w:val="24"/>
        </w:rPr>
      </w:pPr>
      <w:r w:rsidRPr="009E30D2">
        <w:rPr>
          <w:b/>
          <w:sz w:val="24"/>
          <w:szCs w:val="24"/>
        </w:rPr>
        <w:t>II. Membership</w:t>
      </w:r>
    </w:p>
    <w:p w:rsidR="002754C2" w:rsidP="00EF45CD">
      <w:pPr>
        <w:pStyle w:val="NoSpacing"/>
        <w:jc w:val="both"/>
        <w:rPr>
          <w:sz w:val="24"/>
          <w:szCs w:val="24"/>
        </w:rPr>
      </w:pPr>
    </w:p>
    <w:p w:rsidR="002754C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The Committee shall be composed of at least two (2) directors as determined by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Board, each of </w:t>
      </w:r>
      <w:r>
        <w:rPr>
          <w:sz w:val="24"/>
          <w:szCs w:val="24"/>
        </w:rPr>
        <w:t>whom</w:t>
      </w:r>
      <w:r>
        <w:rPr>
          <w:sz w:val="24"/>
          <w:szCs w:val="24"/>
        </w:rPr>
        <w:t xml:space="preserve"> shall:</w:t>
      </w:r>
    </w:p>
    <w:p w:rsidR="002754C2" w:rsidP="00EF45CD">
      <w:pPr>
        <w:pStyle w:val="NoSpacing"/>
        <w:jc w:val="both"/>
        <w:rPr>
          <w:sz w:val="24"/>
          <w:szCs w:val="24"/>
        </w:rPr>
      </w:pPr>
    </w:p>
    <w:p w:rsidR="002754C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(1) </w:t>
      </w:r>
      <w:r w:rsidRPr="009E30D2">
        <w:rPr>
          <w:sz w:val="24"/>
          <w:szCs w:val="24"/>
        </w:rPr>
        <w:t>satisfy</w:t>
      </w:r>
      <w:r w:rsidRPr="009E30D2">
        <w:rPr>
          <w:sz w:val="24"/>
          <w:szCs w:val="24"/>
        </w:rPr>
        <w:t xml:space="preserve"> the independence and other eligibility requirements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NASDAQ rules, as amended from time to time, </w:t>
      </w:r>
    </w:p>
    <w:p w:rsidR="002754C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(2) </w:t>
      </w:r>
      <w:r w:rsidRPr="009E30D2">
        <w:rPr>
          <w:sz w:val="24"/>
          <w:szCs w:val="24"/>
        </w:rPr>
        <w:t>be</w:t>
      </w:r>
      <w:r w:rsidRPr="009E30D2">
        <w:rPr>
          <w:sz w:val="24"/>
          <w:szCs w:val="24"/>
        </w:rPr>
        <w:t xml:space="preserve"> a “non-employee director” within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meaning of Rule 16b-3 of the Exchange Act and </w:t>
      </w: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(3) </w:t>
      </w:r>
      <w:r w:rsidRPr="009E30D2">
        <w:rPr>
          <w:sz w:val="24"/>
          <w:szCs w:val="24"/>
        </w:rPr>
        <w:t>be</w:t>
      </w:r>
      <w:r w:rsidRPr="009E30D2">
        <w:rPr>
          <w:sz w:val="24"/>
          <w:szCs w:val="24"/>
        </w:rPr>
        <w:t xml:space="preserve"> an “outside director” under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regulations promulgated under Section 162(m) of the Internal Revenue Code of 1986, as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amended (the “Code”).</w:t>
      </w:r>
    </w:p>
    <w:p w:rsidR="00EF45CD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members of the Committee, including the Chairperson of the Committee (the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“Chair”), shall be appointed by the Board. Committee members may be removed from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Committee, with or without cause and with or without prior notice, by the Board. Any action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duly taken by the Committee shall be valid and effective, whether or not the members of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 at the time of such action are later determined not to have satisfied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requirements for membership provided herein.</w:t>
      </w:r>
    </w:p>
    <w:p w:rsidR="00EF45CD" w:rsidRPr="009E30D2" w:rsidP="00EF45CD">
      <w:pPr>
        <w:pStyle w:val="NoSpacing"/>
        <w:jc w:val="both"/>
        <w:rPr>
          <w:sz w:val="24"/>
          <w:szCs w:val="24"/>
        </w:rPr>
      </w:pPr>
    </w:p>
    <w:p w:rsidR="00EF45CD" w:rsidRPr="009E30D2" w:rsidP="00EF45CD">
      <w:pPr>
        <w:pStyle w:val="NoSpacing"/>
        <w:jc w:val="both"/>
        <w:rPr>
          <w:b/>
          <w:sz w:val="24"/>
          <w:szCs w:val="24"/>
        </w:rPr>
      </w:pPr>
      <w:r w:rsidRPr="009E30D2">
        <w:rPr>
          <w:b/>
          <w:sz w:val="24"/>
          <w:szCs w:val="24"/>
        </w:rPr>
        <w:t>III. Meetings and Procedures</w:t>
      </w:r>
    </w:p>
    <w:p w:rsidR="002754C2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The Chair (or in his or her absence, a member designated by the Chair) shall preside at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each meeting of the Committee and set the agendas for Committee meetings. The Committee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shall have the authority to establish its own rules and procedures for notice and conduct of its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meetings so long as they are not inconsistent with any provisions of the Company’s bylaws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that are applicable to the Committee.</w:t>
      </w:r>
    </w:p>
    <w:p w:rsidR="00EF45CD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Committee should meet as often as it determines advisable to fulfill its duties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responsibilities. Meetings of the Committee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may be called by the Chair upon notice given at least twenty-four (24) hours prior to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meeting, or upon such shorter notice as shall be approved by the Committee. The Chair shall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designate a secretary for each meeting who shall record minutes of all formal actions of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Committee. A majority of the Committee members, present in person or by phone, shall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constitute a quorum. A majority of the members present shall decide any questions brought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before the Committee, except to the extent otherwise required by the Company’s certificate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incorporation or bylaws (each as in effect from time to time). Notwithstanding the foregoing,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in the event the Committee consists of only two (2) members, both members must be present,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in person or by phone, to constitute a quorum, and any questions brought before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 must be decided by unanimous vote. Meetings of the Committee may be held by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conference call. Unless otherwise restricted by the Company’s bylaws, any action required or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permitted to be taken at any meeting of the Committee may be taken without a meeting if all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members of the Committee consent thereto in writing (including by electronic transmission),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and such writing (including any electronic transmission) is filed with the minutes of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Committee.</w:t>
      </w:r>
      <w:r>
        <w:rPr>
          <w:sz w:val="24"/>
          <w:szCs w:val="24"/>
        </w:rPr>
        <w:t xml:space="preserve"> </w:t>
      </w:r>
    </w:p>
    <w:p w:rsidR="00EF45CD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All non-management directors who are not members of the Committee may attend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observe meetings of the Committee, but shall not participate in any discussion or deliberation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unless invited to do so by the Committee, and in any event shall not be entitled to vote.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 may, at its discretion, include in its meetings members of the Company’s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management, compensation and benefits consultants or any other person whose presence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 believes to be necessary or appropriate. Notwithstanding the foregoing, the CEO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and other officers may not be present during voting or deliberations concerning his or her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compensation, and the Committee may exclude from its meetings any persons it deems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appropriate, including, but not limited to, any non-management director who is not a member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of the Committee.</w:t>
      </w:r>
      <w:r>
        <w:rPr>
          <w:sz w:val="24"/>
          <w:szCs w:val="24"/>
        </w:rPr>
        <w:t xml:space="preserve"> </w:t>
      </w:r>
    </w:p>
    <w:p w:rsidR="00EF45CD" w:rsidP="00EF45CD">
      <w:pPr>
        <w:pStyle w:val="NoSpacing"/>
        <w:jc w:val="both"/>
        <w:rPr>
          <w:sz w:val="24"/>
          <w:szCs w:val="24"/>
        </w:rPr>
      </w:pPr>
    </w:p>
    <w:p w:rsidR="002754C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Consistent with applicable requirements of the Exchange Act and NASDAQ listing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standards, the Committee shall</w:t>
      </w:r>
      <w:r>
        <w:rPr>
          <w:sz w:val="24"/>
          <w:szCs w:val="24"/>
        </w:rPr>
        <w:t>:</w:t>
      </w:r>
      <w:r w:rsidRPr="009E30D2">
        <w:rPr>
          <w:sz w:val="24"/>
          <w:szCs w:val="24"/>
        </w:rPr>
        <w:t xml:space="preserve"> </w:t>
      </w:r>
    </w:p>
    <w:p w:rsidR="002754C2" w:rsidP="00EF45CD">
      <w:pPr>
        <w:pStyle w:val="NoSpacing"/>
        <w:jc w:val="both"/>
        <w:rPr>
          <w:sz w:val="24"/>
          <w:szCs w:val="24"/>
        </w:rPr>
      </w:pPr>
    </w:p>
    <w:p w:rsidR="002754C2" w:rsidP="002754C2">
      <w:pPr>
        <w:pStyle w:val="NoSpacing"/>
        <w:jc w:val="both"/>
        <w:rPr>
          <w:sz w:val="24"/>
          <w:szCs w:val="24"/>
        </w:rPr>
      </w:pPr>
      <w:r w:rsidRPr="002754C2">
        <w:rPr>
          <w:sz w:val="24"/>
          <w:szCs w:val="24"/>
        </w:rPr>
        <w:t>(</w:t>
      </w:r>
      <w:r w:rsidRPr="002754C2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Pr="009E30D2" w:rsidR="00EF45CD">
        <w:rPr>
          <w:sz w:val="24"/>
          <w:szCs w:val="24"/>
        </w:rPr>
        <w:t>have</w:t>
      </w:r>
      <w:r w:rsidRPr="009E30D2" w:rsidR="00EF45CD">
        <w:rPr>
          <w:sz w:val="24"/>
          <w:szCs w:val="24"/>
        </w:rPr>
        <w:t xml:space="preserve"> the sole authority to retain and/or replace, as needed,</w:t>
      </w:r>
      <w:r w:rsidR="00EF45CD">
        <w:rPr>
          <w:sz w:val="24"/>
          <w:szCs w:val="24"/>
        </w:rPr>
        <w:t xml:space="preserve"> </w:t>
      </w:r>
      <w:r w:rsidRPr="009E30D2" w:rsidR="00EF45CD">
        <w:rPr>
          <w:sz w:val="24"/>
          <w:szCs w:val="24"/>
        </w:rPr>
        <w:t>any independent legal counsel, compensation and benefits consultants and other</w:t>
      </w:r>
      <w:r w:rsidR="00EF45CD">
        <w:rPr>
          <w:sz w:val="24"/>
          <w:szCs w:val="24"/>
        </w:rPr>
        <w:t xml:space="preserve"> </w:t>
      </w:r>
      <w:r w:rsidRPr="009E30D2" w:rsidR="00EF45CD">
        <w:rPr>
          <w:sz w:val="24"/>
          <w:szCs w:val="24"/>
        </w:rPr>
        <w:t>experts or advisors as the Committee believes to be necessary or appropriate (collectively,</w:t>
      </w:r>
      <w:r w:rsidR="00EF45CD">
        <w:rPr>
          <w:sz w:val="24"/>
          <w:szCs w:val="24"/>
        </w:rPr>
        <w:t xml:space="preserve"> </w:t>
      </w:r>
      <w:r w:rsidRPr="009E30D2" w:rsidR="00EF45CD">
        <w:rPr>
          <w:sz w:val="24"/>
          <w:szCs w:val="24"/>
        </w:rPr>
        <w:t xml:space="preserve">“Compensation Advisers”); </w:t>
      </w:r>
    </w:p>
    <w:p w:rsidR="002754C2" w:rsidP="002754C2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(ii) </w:t>
      </w:r>
      <w:r w:rsidRPr="009E30D2">
        <w:rPr>
          <w:sz w:val="24"/>
          <w:szCs w:val="24"/>
        </w:rPr>
        <w:t>be</w:t>
      </w:r>
      <w:r w:rsidRPr="009E30D2">
        <w:rPr>
          <w:sz w:val="24"/>
          <w:szCs w:val="24"/>
        </w:rPr>
        <w:t xml:space="preserve"> directly responsible for the appointment, determination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and oversight of the work of any Compensation Advisers retained by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Committee; </w:t>
      </w:r>
    </w:p>
    <w:p w:rsidR="002754C2" w:rsidP="002754C2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(iii) </w:t>
      </w:r>
      <w:r w:rsidRPr="009E30D2">
        <w:rPr>
          <w:sz w:val="24"/>
          <w:szCs w:val="24"/>
        </w:rPr>
        <w:t>subject</w:t>
      </w:r>
      <w:r w:rsidRPr="009E30D2">
        <w:rPr>
          <w:sz w:val="24"/>
          <w:szCs w:val="24"/>
        </w:rPr>
        <w:t xml:space="preserve"> to any exceptions under NASDAQ listing standards, undertake an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analysis of the independence of each Compensation Adviser under the independence factors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specified in the applicable requirements of the Exchange Act and NASDAQ listing standards,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with such analysis to occur prior to selection of such Compensation Adviser and as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appropriate thereafter; and </w:t>
      </w:r>
    </w:p>
    <w:p w:rsidR="002754C2" w:rsidP="002754C2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(iv) </w:t>
      </w:r>
      <w:r w:rsidRPr="009E30D2">
        <w:rPr>
          <w:sz w:val="24"/>
          <w:szCs w:val="24"/>
        </w:rPr>
        <w:t>have</w:t>
      </w:r>
      <w:r w:rsidRPr="009E30D2">
        <w:rPr>
          <w:sz w:val="24"/>
          <w:szCs w:val="24"/>
        </w:rPr>
        <w:t xml:space="preserve"> such additional authority and responsibility as may be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required from time to time under the rules and guidelines of the Exchange Act and NASDAQ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listing standards. </w:t>
      </w:r>
    </w:p>
    <w:p w:rsidR="002754C2" w:rsidP="002754C2">
      <w:pPr>
        <w:pStyle w:val="NoSpacing"/>
        <w:jc w:val="both"/>
        <w:rPr>
          <w:sz w:val="24"/>
          <w:szCs w:val="24"/>
        </w:rPr>
      </w:pPr>
    </w:p>
    <w:p w:rsidR="00EF45CD" w:rsidP="002754C2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The Committee may also utilize the services of the Company’s regular legal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counsel or other advisors to the Company as Compensation Advisors. The Company shall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provide for appropriate funding, as determined by the Committee in its sole discretion, for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payment of compensation to any such Compensation Advisors retained by the Committee.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Committee shall keep regular minutes of any meetings where actions are taken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(unless such actions are taken and reported to the Committee’s satisfaction in the minutes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Board meetings). Any such minutes kept by the Committee shall be distributed to each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member of the Committee and other members of the Board. The Secretary of the Company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shall maintain the original signed minutes for filing with the corporate records of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Company. The Chair shall report to the Board regarding the activities of the Committee at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appropriate times and as otherwise requested by the Chairperson of the Board.</w:t>
      </w:r>
    </w:p>
    <w:p w:rsidR="00EF45CD" w:rsidRPr="009E30D2" w:rsidP="00EF45CD">
      <w:pPr>
        <w:pStyle w:val="NoSpacing"/>
        <w:jc w:val="both"/>
        <w:rPr>
          <w:sz w:val="24"/>
          <w:szCs w:val="24"/>
        </w:rPr>
      </w:pPr>
    </w:p>
    <w:p w:rsidR="00EF45CD" w:rsidRPr="00E703CB" w:rsidP="00EF45CD">
      <w:pPr>
        <w:pStyle w:val="NoSpacing"/>
        <w:jc w:val="both"/>
        <w:rPr>
          <w:b/>
          <w:sz w:val="24"/>
          <w:szCs w:val="24"/>
        </w:rPr>
      </w:pPr>
      <w:r w:rsidRPr="00E703CB">
        <w:rPr>
          <w:b/>
          <w:sz w:val="24"/>
          <w:szCs w:val="24"/>
        </w:rPr>
        <w:t>IV. Duties and Responsibilities</w:t>
      </w:r>
    </w:p>
    <w:p w:rsidR="002754C2" w:rsidP="00EF45CD">
      <w:pPr>
        <w:pStyle w:val="NoSpacing"/>
        <w:jc w:val="both"/>
        <w:rPr>
          <w:sz w:val="24"/>
          <w:szCs w:val="24"/>
        </w:rPr>
      </w:pPr>
    </w:p>
    <w:p w:rsidR="00EF45CD" w:rsidRPr="009E30D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1. The Committee shall, at least annually, </w:t>
      </w:r>
      <w:r w:rsidRPr="009E30D2">
        <w:rPr>
          <w:sz w:val="24"/>
          <w:szCs w:val="24"/>
        </w:rPr>
        <w:t>review</w:t>
      </w:r>
      <w:r w:rsidRPr="009E30D2">
        <w:rPr>
          <w:sz w:val="24"/>
          <w:szCs w:val="24"/>
        </w:rPr>
        <w:t xml:space="preserve"> the compensation philosophy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Company.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2. The Committee shall obtain information on market trends in executive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and shall review the competitiveness of the Company’s executive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programs to ensure (a) the attraction and retention of officers; (b)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motivation of officers to achieve the Company’s business objectives; and (c) the alignment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interests of officers with the long-term interests of the Company’s stockholders.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3. The Committee shall, at least annually, review and recommend to the Board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for approval the corporate goals and objectives relevant to CEO and other officer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compensation, evaluate CEO </w:t>
      </w:r>
      <w:r w:rsidRPr="009E30D2">
        <w:rPr>
          <w:sz w:val="24"/>
          <w:szCs w:val="24"/>
        </w:rPr>
        <w:t>and officer performance in light of those goals and objectives,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and, determine and approve all compensation of the officers, other than the CEO,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recommend to the Board for approval all compensation of the CEO, based on such evaluation.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Board shall retain the authority to determine and approve, upon the recommendation of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Committee, the compensation of the CEO, unless such authority has been delegated to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4. The Committee shall, periodically and as and when appropriate, review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approve the following as they affect the officers, other than the CEO: (a) any employment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agreements and severance arrangements, including any amendments, supplements or changes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thereto; (b) any change-in-control agreements and change-in-control provisions affecting any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elements of compensation and benefits and (c) any special or supplemental compensation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benefits for the officers and individuals who formerly served as officers, including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supplemental retirement benefits and the perquisites provided to them during and after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employment. The Board shall retain the authority to approve the foregoing as it relates to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CEO, upon the recommendation of the Committee, unless </w:t>
      </w:r>
      <w:r w:rsidRPr="009E30D2">
        <w:rPr>
          <w:sz w:val="24"/>
          <w:szCs w:val="24"/>
        </w:rPr>
        <w:t>such authority has been delegated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to the Committee by the Board</w:t>
      </w:r>
      <w:r w:rsidRPr="009E30D2">
        <w:rPr>
          <w:sz w:val="24"/>
          <w:szCs w:val="24"/>
        </w:rPr>
        <w:t>.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2624B1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5. The Committee shall oversee the Company’s compliance with the requirement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under NASDAQ rules that, with limited exceptions, stockholders approve equity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plans. Subject to such stockholder approval, or otherwise required by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Exchange Act, the Code or other applicable law, the Committee shall have the power to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establish, amend, manage, periodically review and, where appropriate, terminate all annual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bonus, long-term incentive compensation, stock option, employee pension and welfare benefit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plans including 401(k) plans, employee stock purchase plans, long-term incentive plans,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management incentive plans and others and with respect to each plan shall have responsibility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for: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2624B1" w:rsidP="002624B1">
      <w:pPr>
        <w:pStyle w:val="NoSpacing"/>
        <w:jc w:val="both"/>
        <w:rPr>
          <w:sz w:val="24"/>
          <w:szCs w:val="24"/>
        </w:rPr>
      </w:pPr>
      <w:r w:rsidRPr="002624B1">
        <w:rPr>
          <w:sz w:val="24"/>
          <w:szCs w:val="24"/>
        </w:rPr>
        <w:t>(</w:t>
      </w:r>
      <w:r w:rsidRPr="002624B1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Pr="009E30D2" w:rsidR="00EF45CD">
        <w:rPr>
          <w:sz w:val="24"/>
          <w:szCs w:val="24"/>
        </w:rPr>
        <w:t>general</w:t>
      </w:r>
      <w:r w:rsidRPr="009E30D2" w:rsidR="00EF45CD">
        <w:rPr>
          <w:sz w:val="24"/>
          <w:szCs w:val="24"/>
        </w:rPr>
        <w:t xml:space="preserve"> administration;</w:t>
      </w:r>
      <w:r w:rsidR="00EF45CD">
        <w:rPr>
          <w:sz w:val="24"/>
          <w:szCs w:val="24"/>
        </w:rPr>
        <w:t xml:space="preserve"> </w:t>
      </w:r>
    </w:p>
    <w:p w:rsidR="002624B1" w:rsidP="002624B1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(ii) </w:t>
      </w:r>
      <w:r w:rsidRPr="009E30D2">
        <w:rPr>
          <w:sz w:val="24"/>
          <w:szCs w:val="24"/>
        </w:rPr>
        <w:t>setting</w:t>
      </w:r>
      <w:r w:rsidRPr="009E30D2">
        <w:rPr>
          <w:sz w:val="24"/>
          <w:szCs w:val="24"/>
        </w:rPr>
        <w:t xml:space="preserve"> performance targets under all annual bonus and long-term incentive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plans for officers as appropriate and, with respect to any compensation under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such plans that is intended to constitute “qualified performance-based compensation” within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meaning of Section 162(m) of the Code, committing to writing any and all performance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targets for all officers who may be “covered employees” under Section 162(m) of the Code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within the first 90 days of the performance period to which such target relates or, if shorter,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within the period provided by Section 162(m) of the Code in </w:t>
      </w:r>
      <w:r>
        <w:rPr>
          <w:sz w:val="24"/>
          <w:szCs w:val="24"/>
        </w:rPr>
        <w:t>order for such target to be “pre</w:t>
      </w:r>
      <w:r w:rsidRPr="009E30D2">
        <w:rPr>
          <w:sz w:val="24"/>
          <w:szCs w:val="24"/>
        </w:rPr>
        <w:t>-established”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within the meaning of Section 162(m);</w:t>
      </w:r>
      <w:r>
        <w:rPr>
          <w:sz w:val="24"/>
          <w:szCs w:val="24"/>
        </w:rPr>
        <w:t xml:space="preserve"> </w:t>
      </w:r>
    </w:p>
    <w:p w:rsidR="002624B1" w:rsidP="002624B1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(iii) </w:t>
      </w:r>
      <w:r w:rsidRPr="009E30D2">
        <w:rPr>
          <w:sz w:val="24"/>
          <w:szCs w:val="24"/>
        </w:rPr>
        <w:t>certifying</w:t>
      </w:r>
      <w:r w:rsidRPr="009E30D2">
        <w:rPr>
          <w:sz w:val="24"/>
          <w:szCs w:val="24"/>
        </w:rPr>
        <w:t xml:space="preserve"> that any and all performance targets used for any performance based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plans have been met before payment of any executive bonus or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or exercise of any executive award granted under any such plan(s);</w:t>
      </w:r>
      <w:r>
        <w:rPr>
          <w:sz w:val="24"/>
          <w:szCs w:val="24"/>
        </w:rPr>
        <w:t xml:space="preserve"> </w:t>
      </w:r>
    </w:p>
    <w:p w:rsidR="002624B1" w:rsidP="002624B1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(iv) </w:t>
      </w:r>
      <w:r w:rsidRPr="009E30D2">
        <w:rPr>
          <w:sz w:val="24"/>
          <w:szCs w:val="24"/>
        </w:rPr>
        <w:t>approving</w:t>
      </w:r>
      <w:r w:rsidRPr="009E30D2">
        <w:rPr>
          <w:sz w:val="24"/>
          <w:szCs w:val="24"/>
        </w:rPr>
        <w:t xml:space="preserve"> all amendments to, and terminations of, all compensation plans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and any awards under such plans;</w:t>
      </w:r>
      <w:r>
        <w:rPr>
          <w:sz w:val="24"/>
          <w:szCs w:val="24"/>
        </w:rPr>
        <w:t xml:space="preserve"> </w:t>
      </w:r>
    </w:p>
    <w:p w:rsidR="002624B1" w:rsidP="002624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(v)</w:t>
      </w:r>
      <w:r w:rsidRPr="009E30D2"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granting</w:t>
      </w:r>
      <w:r w:rsidRPr="009E30D2">
        <w:rPr>
          <w:sz w:val="24"/>
          <w:szCs w:val="24"/>
        </w:rPr>
        <w:t xml:space="preserve"> any awards under any performance-based executive annual bonus,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long-term incentive compensation and equity compensation plans, including stock options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other equity rights (e.g., restricted stock, stock purchase rights);</w:t>
      </w:r>
      <w:r>
        <w:rPr>
          <w:sz w:val="24"/>
          <w:szCs w:val="24"/>
        </w:rPr>
        <w:t xml:space="preserve"> </w:t>
      </w:r>
    </w:p>
    <w:p w:rsidR="002624B1" w:rsidP="002624B1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(vi) </w:t>
      </w:r>
      <w:r w:rsidRPr="009E30D2">
        <w:rPr>
          <w:sz w:val="24"/>
          <w:szCs w:val="24"/>
        </w:rPr>
        <w:t>approving</w:t>
      </w:r>
      <w:r w:rsidRPr="009E30D2">
        <w:rPr>
          <w:sz w:val="24"/>
          <w:szCs w:val="24"/>
        </w:rPr>
        <w:t xml:space="preserve"> which employees or consultants are entitled to awards under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Company’s stock option and other equity compensation plan(s);</w:t>
      </w:r>
      <w:r>
        <w:rPr>
          <w:sz w:val="24"/>
          <w:szCs w:val="24"/>
        </w:rPr>
        <w:t xml:space="preserve"> </w:t>
      </w:r>
    </w:p>
    <w:p w:rsidR="002624B1" w:rsidP="002624B1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 xml:space="preserve">(vii) </w:t>
      </w:r>
      <w:r w:rsidRPr="009E30D2">
        <w:rPr>
          <w:sz w:val="24"/>
          <w:szCs w:val="24"/>
        </w:rPr>
        <w:t>repurchasing</w:t>
      </w:r>
      <w:r w:rsidRPr="009E30D2">
        <w:rPr>
          <w:sz w:val="24"/>
          <w:szCs w:val="24"/>
        </w:rPr>
        <w:t xml:space="preserve"> securities from terminated employees; and</w:t>
      </w:r>
      <w:r>
        <w:rPr>
          <w:sz w:val="24"/>
          <w:szCs w:val="24"/>
        </w:rPr>
        <w:t xml:space="preserve"> </w:t>
      </w:r>
    </w:p>
    <w:p w:rsidR="002624B1" w:rsidP="002624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(viii) </w:t>
      </w:r>
      <w:r w:rsidRPr="009E30D2">
        <w:rPr>
          <w:sz w:val="24"/>
          <w:szCs w:val="24"/>
        </w:rPr>
        <w:t>providing</w:t>
      </w:r>
      <w:r w:rsidRPr="009E30D2">
        <w:rPr>
          <w:sz w:val="24"/>
          <w:szCs w:val="24"/>
        </w:rPr>
        <w:t xml:space="preserve"> compensation risk assessments to confirm that compensation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does not encourage unnecessary risk taking and to review and discuss, at least annually,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relationship between risk management policies and practice, business strategy and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 xml:space="preserve">officers’ compensation. </w:t>
      </w:r>
    </w:p>
    <w:p w:rsidR="002624B1" w:rsidP="002624B1">
      <w:pPr>
        <w:pStyle w:val="NoSpacing"/>
        <w:jc w:val="both"/>
        <w:rPr>
          <w:sz w:val="24"/>
          <w:szCs w:val="24"/>
        </w:rPr>
      </w:pPr>
    </w:p>
    <w:p w:rsidR="00EF45CD" w:rsidP="002624B1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All periodic plan reviews should include reviewing the plan’s administrative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costs, reviewing current plan features relative to any proposed new features, and assessing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performance of the plan’s internal and external administrators if any duties have been delegated.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2624B1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6. The Committee shall establish and periodically review policies concerning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perquisite benefits.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RPr="009E30D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7. The Committee shall periodically review the need for a Company policy</w:t>
      </w:r>
      <w:r>
        <w:rPr>
          <w:sz w:val="24"/>
          <w:szCs w:val="24"/>
        </w:rPr>
        <w:t xml:space="preserve"> regarding compensation </w:t>
      </w:r>
      <w:r w:rsidRPr="009E30D2">
        <w:rPr>
          <w:sz w:val="24"/>
          <w:szCs w:val="24"/>
        </w:rPr>
        <w:t>paid to the Company’s officers in excess of limits deductible under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Section 162(m) of the Code.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2624B1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8. The Committee shall determine the Company’s policy with respect to change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of control or “parachute” payments.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RPr="009E30D2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9. The Committee shall monitor the Company’s compliance with applicable legal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requirements of the Sarbanes Oxley Act of 2002 and the Dodd-Frank Wall Street Reform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Consumer Protection Act relating to employee compensation and benefits.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2624B1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10. The Committee shall have generalized supervisory responsibility for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compensation policies applicable to all employees of the Company, including periodic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reviews of the adequacy of the Company’s compensation structure, performance review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procedures, employee turn-over and retention, successorship plans and other human resource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issues. The Committee shall receive periodic reports on the Company’s compensation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programs as they affect all employees.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11. The Committee shall review and discuss with the management of the Company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the Compensation Discussion and Analysis (the “CD&amp;A”), and based on such discussions,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determine whether to recommend to the Board that the CD&amp;A be included in the Company’s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proxy statement and annual report on Form 10-K.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12. The Committee shall produce the annual Compensation Committee Report for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inclusion in the Compa</w:t>
      </w:r>
      <w:r>
        <w:rPr>
          <w:sz w:val="24"/>
          <w:szCs w:val="24"/>
        </w:rPr>
        <w:t xml:space="preserve">ny’s proxy statement and annual </w:t>
      </w:r>
      <w:r w:rsidRPr="009E30D2">
        <w:rPr>
          <w:sz w:val="24"/>
          <w:szCs w:val="24"/>
        </w:rPr>
        <w:t>report on Form 10-K in compliance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with the rules and regulations promulgated by the SEC.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13. The Committee shall periodically review and make recommendations to the</w:t>
      </w:r>
      <w:r>
        <w:rPr>
          <w:sz w:val="24"/>
          <w:szCs w:val="24"/>
        </w:rPr>
        <w:t xml:space="preserve"> Board with respect </w:t>
      </w:r>
      <w:r w:rsidRPr="009E30D2">
        <w:rPr>
          <w:sz w:val="24"/>
          <w:szCs w:val="24"/>
        </w:rPr>
        <w:t>to the compensation of the Board’s non-management directors.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14. The Committee shall, at least annually and with input from the Nominating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Corporate Governance Committee of the Board (the “Nominating and Corporate Governance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Committee”) if deemed appropriate, perform an evaluation of the performance of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Committee and its members, including a review of the Committee’s compliance with this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Charter, and provide any written material with respect to such evaluation to the Board or the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Nominating and Corporate Governance Committee, as appropriate, including any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recommendations for changes in procedures or policies governing the Committee.</w:t>
      </w:r>
      <w:r>
        <w:rPr>
          <w:sz w:val="24"/>
          <w:szCs w:val="24"/>
        </w:rPr>
        <w:t xml:space="preserve"> 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P="00EF45CD">
      <w:pPr>
        <w:pStyle w:val="NoSpacing"/>
        <w:jc w:val="both"/>
        <w:rPr>
          <w:sz w:val="24"/>
          <w:szCs w:val="24"/>
        </w:rPr>
      </w:pPr>
      <w:r w:rsidRPr="009E30D2">
        <w:rPr>
          <w:sz w:val="24"/>
          <w:szCs w:val="24"/>
        </w:rPr>
        <w:t>15. The Committee shall, at least annually and with input from the Nominating and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Corporate Governance Committee if deemed appropriate, review and reassess this Charter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and submit any recommended changes to the Board for its consideration.</w:t>
      </w:r>
    </w:p>
    <w:p w:rsidR="00EF45CD" w:rsidRPr="009E30D2" w:rsidP="00EF45CD">
      <w:pPr>
        <w:pStyle w:val="NoSpacing"/>
        <w:jc w:val="both"/>
        <w:rPr>
          <w:sz w:val="24"/>
          <w:szCs w:val="24"/>
        </w:rPr>
      </w:pPr>
    </w:p>
    <w:p w:rsidR="00EF45CD" w:rsidRPr="009E30D2" w:rsidP="00EF45CD">
      <w:pPr>
        <w:pStyle w:val="NoSpacing"/>
        <w:jc w:val="both"/>
        <w:rPr>
          <w:b/>
          <w:sz w:val="24"/>
          <w:szCs w:val="24"/>
        </w:rPr>
      </w:pPr>
      <w:r w:rsidRPr="009E30D2">
        <w:rPr>
          <w:b/>
          <w:sz w:val="24"/>
          <w:szCs w:val="24"/>
        </w:rPr>
        <w:t>V. Delegation of Duties</w:t>
      </w:r>
    </w:p>
    <w:p w:rsidR="002624B1" w:rsidP="00EF45CD">
      <w:pPr>
        <w:pStyle w:val="NoSpacing"/>
        <w:jc w:val="both"/>
        <w:rPr>
          <w:sz w:val="24"/>
          <w:szCs w:val="24"/>
        </w:rPr>
      </w:pPr>
    </w:p>
    <w:p w:rsidR="00EF45CD" w:rsidRPr="009E30D2" w:rsidP="00EF45C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9E30D2">
        <w:rPr>
          <w:sz w:val="24"/>
          <w:szCs w:val="24"/>
        </w:rPr>
        <w:t>In fulfilling its responsibilities, the Committee shall be entitled to delegate any or all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of its responsibilities to a subcommittee, but only to the extent consistent with the Company’s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certificate of incorporation, bylaws, Section 162(m) of the Code, applicable laws, regulations</w:t>
      </w:r>
      <w:r>
        <w:rPr>
          <w:sz w:val="24"/>
          <w:szCs w:val="24"/>
        </w:rPr>
        <w:t xml:space="preserve"> </w:t>
      </w:r>
      <w:r w:rsidRPr="009E30D2">
        <w:rPr>
          <w:sz w:val="24"/>
          <w:szCs w:val="24"/>
        </w:rPr>
        <w:t>and NASDAQ rules.</w:t>
      </w:r>
    </w:p>
    <w:p w:rsidR="00297052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560CE9"/>
    <w:multiLevelType w:val="hybridMultilevel"/>
    <w:tmpl w:val="A8F68E7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0C6"/>
    <w:multiLevelType w:val="hybridMultilevel"/>
    <w:tmpl w:val="14F4534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54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2016-10-04T17:39:04Z</dcterms:created>
  <dcterms:modified xsi:type="dcterms:W3CDTF">2016-10-04T17:39:04Z</dcterms:modified>
</cp:coreProperties>
</file>